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val="0"/>
        <w:autoSpaceDN w:val="0"/>
        <w:bidi w:val="0"/>
        <w:adjustRightInd/>
        <w:snapToGrid w:val="0"/>
        <w:spacing w:before="2952" w:beforeLines="500" w:after="887" w:afterLines="150" w:line="59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太人社医[2018]4号</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0" w:firstLineChars="0"/>
        <w:jc w:val="center"/>
        <w:textAlignment w:val="auto"/>
        <w:outlineLvl w:val="9"/>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关于公布2018年城镇职工医疗保险个人账户购买健康保险产品的通知</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0"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各有关单位：</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根据《市人社局关于城镇职工医疗保险个人账户用于购买商业健康保险的通知》（苏人保医〔2012〕8号）的相关规定，中国人民财产保险股份有限公司太仓支公司、中国人寿保险保险股份有限公司太仓支公司、中国太平洋人寿保险股份有限公司太仓支公司以及中国人民健康保险股份有限公司太仓支公司等4家公司所属6款由中国保监会批准的商业健康保险产品，经审核符合条件，准予列入太仓市城镇职工医疗保险个人账户用于购买商业健康保险产品目录，现予以公布。</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附件：2018年列入太仓市城镇职工医疗保险个人账户用于购买商业健康保险产品目录</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太仓市人力资源和社会保障局</w:t>
      </w:r>
    </w:p>
    <w:p>
      <w:pPr>
        <w:keepNext w:val="0"/>
        <w:keepLines w:val="0"/>
        <w:pageBreakBefore w:val="0"/>
        <w:widowControl w:val="0"/>
        <w:kinsoku/>
        <w:wordWrap/>
        <w:overflowPunct/>
        <w:topLinePunct w:val="0"/>
        <w:autoSpaceDE w:val="0"/>
        <w:autoSpaceDN w:val="0"/>
        <w:bidi w:val="0"/>
        <w:adjustRightInd/>
        <w:snapToGrid w:val="0"/>
        <w:spacing w:line="590" w:lineRule="exact"/>
        <w:ind w:left="0" w:leftChars="0" w:right="0" w:rightChars="0" w:firstLine="624" w:firstLineChars="0"/>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2018</w:t>
      </w:r>
      <w:bookmarkStart w:id="0" w:name="_GoBack"/>
      <w:bookmarkEnd w:id="0"/>
      <w:r>
        <w:rPr>
          <w:rFonts w:hint="default" w:ascii="Times New Roman" w:hAnsi="Times New Roman" w:eastAsia="仿宋_GB2312" w:cs="Times New Roman"/>
        </w:rPr>
        <w:t xml:space="preserve">年11月19日      </w:t>
      </w:r>
    </w:p>
    <w:sectPr>
      <w:footerReference r:id="rId3" w:type="default"/>
      <w:pgSz w:w="11906" w:h="16838"/>
      <w:pgMar w:top="2098" w:right="1474" w:bottom="1984" w:left="1587" w:header="851" w:footer="1587" w:gutter="0"/>
      <w:pgNumType w:start="1"/>
      <w:cols w:space="720" w:num="1"/>
      <w:docGrid w:type="linesAndChars" w:linePitch="590" w:charSpace="11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汉鼎简仿宋">
    <w:altName w:val="宋体"/>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汉鼎简楷体">
    <w:altName w:val="楷体_GB2312"/>
    <w:panose1 w:val="02010609000101010101"/>
    <w:charset w:val="86"/>
    <w:family w:val="swiss"/>
    <w:pitch w:val="default"/>
    <w:sig w:usb0="00000000" w:usb1="00000000" w:usb2="00000010" w:usb3="00000000" w:csb0="00040000" w:csb1="00000000"/>
  </w:font>
  <w:font w:name="Book Antiqua">
    <w:altName w:val="Segoe Print"/>
    <w:panose1 w:val="02040602050305030304"/>
    <w:charset w:val="00"/>
    <w:family w:val="modern"/>
    <w:pitch w:val="default"/>
    <w:sig w:usb0="00000000" w:usb1="00000000" w:usb2="00000000" w:usb3="00000000" w:csb0="0000009F" w:csb1="00000000"/>
  </w:font>
  <w:font w:name="汉鼎简大宋">
    <w:altName w:val="宋体"/>
    <w:panose1 w:val="02010609010101010101"/>
    <w:charset w:val="86"/>
    <w:family w:val="decorative"/>
    <w:pitch w:val="default"/>
    <w:sig w:usb0="00000000" w:usb1="00000000" w:usb2="00000010" w:usb3="00000000" w:csb0="00040000" w:csb1="00000000"/>
  </w:font>
  <w:font w:name="汉鼎简黑体">
    <w:altName w:val="宋体"/>
    <w:panose1 w:val="02010609000101010101"/>
    <w:charset w:val="86"/>
    <w:family w:val="swiss"/>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方正粗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汉鼎简仿宋">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rPr>
        <w:rFonts w:hint="eastAsia"/>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汉鼎简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汉鼎简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F38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汉鼎简仿宋" w:eastAsia="汉鼎简仿宋"/>
      <w:snapToGrid w:val="0"/>
      <w:sz w:val="32"/>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400" w:lineRule="atLeast"/>
      <w:ind w:firstLine="0"/>
      <w:jc w:val="center"/>
    </w:pPr>
    <w:rPr>
      <w:rFonts w:ascii="宋体" w:hAnsi="宋体" w:eastAsia="宋体"/>
      <w:sz w:val="2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renshejv300</dc:creator>
  <cp:lastModifiedBy>renshejv300</cp:lastModifiedBy>
  <cp:lastPrinted>2018-12-05T02:04:57Z</cp:lastPrinted>
  <dcterms:modified xsi:type="dcterms:W3CDTF">2018-12-05T02:05:01Z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